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7" w:rsidRPr="00860C67" w:rsidRDefault="00860C67" w:rsidP="00860C67">
      <w:pPr>
        <w:jc w:val="center"/>
        <w:rPr>
          <w:rFonts w:eastAsia="Calibri"/>
          <w:b/>
          <w:caps/>
          <w:color w:val="C00000"/>
          <w:sz w:val="28"/>
          <w:szCs w:val="28"/>
          <w:lang w:eastAsia="zh-CN"/>
        </w:rPr>
      </w:pPr>
      <w:r w:rsidRPr="00860C67">
        <w:rPr>
          <w:rFonts w:eastAsia="Calibri"/>
          <w:b/>
          <w:caps/>
          <w:color w:val="C00000"/>
          <w:sz w:val="28"/>
          <w:szCs w:val="28"/>
          <w:lang w:eastAsia="zh-CN"/>
        </w:rPr>
        <w:t>Информация</w:t>
      </w:r>
    </w:p>
    <w:p w:rsidR="00860C67" w:rsidRPr="00860C67" w:rsidRDefault="00860C67" w:rsidP="00860C67">
      <w:pPr>
        <w:suppressAutoHyphens/>
        <w:jc w:val="center"/>
        <w:rPr>
          <w:rFonts w:eastAsia="Calibri"/>
          <w:b/>
          <w:color w:val="C00000"/>
          <w:sz w:val="28"/>
          <w:szCs w:val="28"/>
          <w:lang w:eastAsia="zh-CN"/>
        </w:rPr>
      </w:pPr>
      <w:r w:rsidRPr="00860C67">
        <w:rPr>
          <w:rFonts w:eastAsia="Calibri"/>
          <w:b/>
          <w:color w:val="C00000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860C67">
        <w:rPr>
          <w:rFonts w:eastAsia="Calibri"/>
          <w:b/>
          <w:color w:val="C00000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860C67" w:rsidRDefault="00860C67" w:rsidP="00860C67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color w:val="7030A0"/>
          <w:sz w:val="26"/>
          <w:szCs w:val="26"/>
          <w:u w:val="single"/>
          <w:lang w:eastAsia="zh-CN"/>
        </w:rPr>
      </w:pPr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</w:t>
      </w:r>
      <w:bookmarkStart w:id="0" w:name="_GoBack"/>
      <w:bookmarkEnd w:id="0"/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860C67">
        <w:rPr>
          <w:rFonts w:eastAsia="Calibri"/>
          <w:b/>
          <w:color w:val="7030A0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860C67">
        <w:rPr>
          <w:rFonts w:eastAsia="Calibri"/>
          <w:b/>
          <w:color w:val="7030A0"/>
          <w:sz w:val="26"/>
          <w:szCs w:val="26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860C67" w:rsidRPr="00860C67" w:rsidRDefault="00860C67" w:rsidP="00860C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7030A0"/>
          <w:sz w:val="26"/>
          <w:szCs w:val="26"/>
        </w:rPr>
      </w:pPr>
      <w:r w:rsidRPr="00860C67">
        <w:rPr>
          <w:b/>
          <w:color w:val="7030A0"/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860C67" w:rsidRPr="00860C67" w:rsidRDefault="00860C67" w:rsidP="00860C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7030A0"/>
          <w:sz w:val="26"/>
          <w:szCs w:val="26"/>
        </w:rPr>
      </w:pPr>
      <w:r w:rsidRPr="00860C67">
        <w:rPr>
          <w:b/>
          <w:color w:val="7030A0"/>
          <w:sz w:val="26"/>
          <w:szCs w:val="26"/>
        </w:rPr>
        <w:t xml:space="preserve">Данными санитарными правилами (раздел </w:t>
      </w:r>
      <w:r w:rsidRPr="00860C67">
        <w:rPr>
          <w:b/>
          <w:color w:val="7030A0"/>
          <w:sz w:val="26"/>
          <w:szCs w:val="26"/>
          <w:lang w:val="en-US"/>
        </w:rPr>
        <w:t>V</w:t>
      </w:r>
      <w:r w:rsidRPr="00860C67">
        <w:rPr>
          <w:b/>
          <w:color w:val="7030A0"/>
          <w:sz w:val="26"/>
          <w:szCs w:val="26"/>
        </w:rPr>
        <w:t xml:space="preserve">) предусмотрено проведение </w:t>
      </w:r>
      <w:proofErr w:type="spellStart"/>
      <w:r w:rsidRPr="00860C67">
        <w:rPr>
          <w:b/>
          <w:color w:val="7030A0"/>
          <w:sz w:val="26"/>
          <w:szCs w:val="26"/>
        </w:rPr>
        <w:t>туберкулинодиагностики</w:t>
      </w:r>
      <w:proofErr w:type="spellEnd"/>
      <w:r w:rsidRPr="00860C67">
        <w:rPr>
          <w:b/>
          <w:color w:val="7030A0"/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860C67">
        <w:rPr>
          <w:b/>
          <w:color w:val="7030A0"/>
          <w:sz w:val="26"/>
          <w:szCs w:val="26"/>
        </w:rPr>
        <w:t>обязательными к исполнению</w:t>
      </w:r>
      <w:proofErr w:type="gramEnd"/>
      <w:r w:rsidRPr="00860C67">
        <w:rPr>
          <w:b/>
          <w:color w:val="7030A0"/>
          <w:sz w:val="26"/>
          <w:szCs w:val="26"/>
        </w:rPr>
        <w:t xml:space="preserve"> для физических и юридических лиц 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860C67">
        <w:rPr>
          <w:rFonts w:eastAsia="Calibri"/>
          <w:b/>
          <w:color w:val="7030A0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860C67" w:rsidRPr="00860C67" w:rsidRDefault="00860C67" w:rsidP="00860C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7030A0"/>
          <w:sz w:val="26"/>
          <w:szCs w:val="26"/>
          <w:u w:val="single"/>
        </w:rPr>
      </w:pPr>
      <w:r w:rsidRPr="00860C67">
        <w:rPr>
          <w:b/>
          <w:color w:val="7030A0"/>
          <w:sz w:val="26"/>
          <w:szCs w:val="26"/>
          <w:u w:val="single"/>
        </w:rPr>
        <w:t xml:space="preserve">Дети, </w:t>
      </w:r>
      <w:proofErr w:type="spellStart"/>
      <w:r w:rsidRPr="00860C67">
        <w:rPr>
          <w:b/>
          <w:color w:val="7030A0"/>
          <w:sz w:val="26"/>
          <w:szCs w:val="26"/>
          <w:u w:val="single"/>
        </w:rPr>
        <w:t>туберкулинодиагностика</w:t>
      </w:r>
      <w:proofErr w:type="spellEnd"/>
      <w:r w:rsidRPr="00860C67">
        <w:rPr>
          <w:b/>
          <w:color w:val="7030A0"/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860C67" w:rsidRPr="00860C67" w:rsidRDefault="00860C67" w:rsidP="00860C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Если </w:t>
      </w:r>
      <w:proofErr w:type="spellStart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туберкулинодиагностика</w:t>
      </w:r>
      <w:proofErr w:type="spellEnd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- санитарными правилами;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туберкулинодиагностика</w:t>
      </w:r>
      <w:proofErr w:type="spellEnd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Теркулинодиагностика</w:t>
      </w:r>
      <w:proofErr w:type="spellEnd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 проводится посредством  диагностических проб: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b/>
          <w:color w:val="7030A0"/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проба Манту с 2 ТЕ;</w:t>
      </w:r>
    </w:p>
    <w:p w:rsidR="00860C67" w:rsidRPr="00860C67" w:rsidRDefault="00860C67" w:rsidP="00860C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7030A0"/>
          <w:sz w:val="26"/>
          <w:szCs w:val="26"/>
        </w:rPr>
      </w:pPr>
      <w:r w:rsidRPr="00860C67">
        <w:rPr>
          <w:b/>
          <w:color w:val="7030A0"/>
          <w:sz w:val="26"/>
          <w:szCs w:val="26"/>
        </w:rPr>
        <w:t xml:space="preserve">- аллерген туберкулезный рекомбинантный в стандартном разведении (белок CFP10-ESAT6 0,2 мкг) – </w:t>
      </w:r>
      <w:proofErr w:type="spellStart"/>
      <w:r w:rsidRPr="00860C67">
        <w:rPr>
          <w:b/>
          <w:color w:val="7030A0"/>
          <w:sz w:val="26"/>
          <w:szCs w:val="26"/>
        </w:rPr>
        <w:t>диаскинтест</w:t>
      </w:r>
      <w:proofErr w:type="spellEnd"/>
      <w:r w:rsidRPr="00860C67">
        <w:rPr>
          <w:b/>
          <w:color w:val="7030A0"/>
          <w:sz w:val="26"/>
          <w:szCs w:val="26"/>
        </w:rPr>
        <w:t>.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bCs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color w:val="7030A0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860C67">
        <w:rPr>
          <w:rFonts w:eastAsia="Calibri"/>
          <w:b/>
          <w:bCs/>
          <w:i/>
          <w:iCs/>
          <w:color w:val="7030A0"/>
          <w:sz w:val="26"/>
          <w:szCs w:val="26"/>
          <w:lang w:eastAsia="zh-CN"/>
        </w:rPr>
        <w:t>in</w:t>
      </w:r>
      <w:proofErr w:type="spellEnd"/>
      <w:r w:rsidRPr="00860C67">
        <w:rPr>
          <w:rFonts w:eastAsia="Calibri"/>
          <w:b/>
          <w:bCs/>
          <w:i/>
          <w:iCs/>
          <w:color w:val="7030A0"/>
          <w:sz w:val="26"/>
          <w:szCs w:val="26"/>
          <w:lang w:eastAsia="zh-CN"/>
        </w:rPr>
        <w:t xml:space="preserve"> </w:t>
      </w:r>
      <w:proofErr w:type="spellStart"/>
      <w:r w:rsidRPr="00860C67">
        <w:rPr>
          <w:rFonts w:eastAsia="Calibri"/>
          <w:b/>
          <w:bCs/>
          <w:i/>
          <w:iCs/>
          <w:color w:val="7030A0"/>
          <w:sz w:val="26"/>
          <w:szCs w:val="26"/>
          <w:lang w:eastAsia="zh-CN"/>
        </w:rPr>
        <w:t>vitro</w:t>
      </w:r>
      <w:proofErr w:type="spellEnd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 ИФН-γ.</w:t>
      </w:r>
    </w:p>
    <w:p w:rsidR="00860C67" w:rsidRPr="00860C67" w:rsidRDefault="00860C67" w:rsidP="00860C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860C67">
        <w:rPr>
          <w:rFonts w:eastAsia="Calibri"/>
          <w:b/>
          <w:color w:val="7030A0"/>
          <w:sz w:val="26"/>
          <w:szCs w:val="26"/>
          <w:lang w:eastAsia="zh-CN"/>
        </w:rPr>
        <w:t>квантифероновый</w:t>
      </w:r>
      <w:proofErr w:type="spellEnd"/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 тест и </w:t>
      </w:r>
      <w:r w:rsidRPr="00860C67">
        <w:rPr>
          <w:rFonts w:eastAsia="Calibri"/>
          <w:b/>
          <w:color w:val="7030A0"/>
          <w:sz w:val="26"/>
          <w:szCs w:val="26"/>
          <w:lang w:val="en-US" w:eastAsia="zh-CN"/>
        </w:rPr>
        <w:t>T</w:t>
      </w:r>
      <w:r w:rsidRPr="00860C67">
        <w:rPr>
          <w:rFonts w:eastAsia="Calibri"/>
          <w:b/>
          <w:color w:val="7030A0"/>
          <w:sz w:val="26"/>
          <w:szCs w:val="26"/>
          <w:lang w:eastAsia="zh-CN"/>
        </w:rPr>
        <w:t>-</w:t>
      </w:r>
      <w:r w:rsidRPr="00860C67">
        <w:rPr>
          <w:rFonts w:eastAsia="Calibri"/>
          <w:b/>
          <w:color w:val="7030A0"/>
          <w:sz w:val="26"/>
          <w:szCs w:val="26"/>
          <w:lang w:val="en-US" w:eastAsia="zh-CN"/>
        </w:rPr>
        <w:t>SPOT</w:t>
      </w:r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860C67">
        <w:rPr>
          <w:rFonts w:eastAsia="Calibri"/>
          <w:b/>
          <w:color w:val="7030A0"/>
          <w:sz w:val="26"/>
          <w:szCs w:val="26"/>
          <w:lang w:eastAsia="zh-CN"/>
        </w:rPr>
        <w:t>диаскинтесту</w:t>
      </w:r>
      <w:proofErr w:type="spellEnd"/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860C67" w:rsidRPr="00860C67" w:rsidRDefault="00860C67" w:rsidP="00860C67">
      <w:pPr>
        <w:suppressAutoHyphens/>
        <w:ind w:firstLine="567"/>
        <w:jc w:val="both"/>
        <w:rPr>
          <w:rFonts w:eastAsia="Calibri"/>
          <w:b/>
          <w:color w:val="7030A0"/>
          <w:sz w:val="26"/>
          <w:szCs w:val="26"/>
          <w:lang w:eastAsia="zh-CN"/>
        </w:rPr>
      </w:pPr>
      <w:r w:rsidRPr="00860C67">
        <w:rPr>
          <w:rFonts w:eastAsia="Calibri"/>
          <w:b/>
          <w:color w:val="7030A0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законодательства</w:t>
      </w:r>
      <w:proofErr w:type="gramEnd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>туберкулинодиагностки</w:t>
      </w:r>
      <w:proofErr w:type="spellEnd"/>
      <w:r w:rsidRPr="00860C67">
        <w:rPr>
          <w:rFonts w:eastAsia="Calibri"/>
          <w:b/>
          <w:bCs/>
          <w:color w:val="7030A0"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860C67">
        <w:rPr>
          <w:rFonts w:ascii="Calibri" w:eastAsia="Calibri" w:hAnsi="Calibri"/>
          <w:b/>
          <w:bCs/>
          <w:color w:val="7030A0"/>
          <w:sz w:val="26"/>
          <w:szCs w:val="26"/>
          <w:lang w:eastAsia="zh-CN"/>
        </w:rPr>
        <w:t xml:space="preserve"> </w:t>
      </w:r>
      <w:r w:rsidRPr="00860C67">
        <w:rPr>
          <w:rFonts w:eastAsia="Calibri"/>
          <w:b/>
          <w:color w:val="7030A0"/>
          <w:sz w:val="26"/>
          <w:szCs w:val="26"/>
          <w:lang w:eastAsia="zh-CN"/>
        </w:rPr>
        <w:t>(</w:t>
      </w:r>
      <w:hyperlink r:id="rId5" w:history="1">
        <w:r w:rsidRPr="00860C67">
          <w:rPr>
            <w:rStyle w:val="a3"/>
            <w:rFonts w:eastAsia="Calibri"/>
            <w:b/>
            <w:color w:val="7030A0"/>
            <w:sz w:val="26"/>
            <w:szCs w:val="26"/>
            <w:u w:val="none"/>
            <w:lang w:eastAsia="zh-CN"/>
          </w:rPr>
          <w:t>Решением</w:t>
        </w:r>
      </w:hyperlink>
      <w:r w:rsidRPr="00860C67">
        <w:rPr>
          <w:rFonts w:eastAsia="Calibri"/>
          <w:b/>
          <w:color w:val="7030A0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860C67" w:rsidRPr="00860C67" w:rsidRDefault="00860C67" w:rsidP="00860C67">
      <w:pPr>
        <w:jc w:val="both"/>
        <w:rPr>
          <w:b/>
          <w:color w:val="7030A0"/>
          <w:sz w:val="26"/>
          <w:szCs w:val="26"/>
        </w:rPr>
      </w:pPr>
    </w:p>
    <w:p w:rsidR="00C904D2" w:rsidRPr="00860C67" w:rsidRDefault="00C904D2" w:rsidP="00860C67">
      <w:pPr>
        <w:jc w:val="both"/>
        <w:rPr>
          <w:b/>
          <w:color w:val="7030A0"/>
        </w:rPr>
      </w:pPr>
    </w:p>
    <w:sectPr w:rsidR="00C904D2" w:rsidRPr="0086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7"/>
    <w:rsid w:val="00860C67"/>
    <w:rsid w:val="00C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919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2016-12-06T07:40:00Z</dcterms:created>
  <dcterms:modified xsi:type="dcterms:W3CDTF">2016-12-06T07:41:00Z</dcterms:modified>
</cp:coreProperties>
</file>